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94" w:rsidRPr="00CB1194" w:rsidRDefault="00312F7D" w:rsidP="00CB1194">
      <w:pPr>
        <w:pStyle w:val="a3"/>
        <w:shd w:val="clear" w:color="auto" w:fill="FFFFFF"/>
        <w:spacing w:before="108" w:beforeAutospacing="0" w:after="252" w:afterAutospacing="0"/>
        <w:rPr>
          <w:rFonts w:ascii="Montserrat" w:hAnsi="Montserrat"/>
          <w:color w:val="273350"/>
          <w:sz w:val="29"/>
          <w:szCs w:val="29"/>
        </w:rPr>
      </w:pPr>
      <w:r>
        <w:t xml:space="preserve"> </w:t>
      </w:r>
      <w:r w:rsidR="00CB1194" w:rsidRPr="00CB1194">
        <w:rPr>
          <w:rFonts w:ascii="Montserrat" w:hAnsi="Montserrat"/>
          <w:b/>
          <w:bCs/>
          <w:color w:val="273350"/>
          <w:sz w:val="29"/>
        </w:rPr>
        <w:t>СБОРНИКИ ЗАДАНИЙ</w:t>
      </w:r>
    </w:p>
    <w:p w:rsidR="00CB1194" w:rsidRPr="00CB1194" w:rsidRDefault="00CB1194" w:rsidP="00CB119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на выявление уровня читательской грамотности, </w:t>
      </w:r>
      <w:proofErr w:type="gram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предложенных</w:t>
      </w:r>
      <w:proofErr w:type="gram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обучающимся/студентам (15-летним подросткам) при проведении международного сравнительного исследования PISA </w:t>
      </w:r>
      <w:hyperlink r:id="rId5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https://rikc.by/ru/PISA/1-ex__pisa.pdf</w:t>
        </w:r>
      </w:hyperlink>
    </w:p>
    <w:p w:rsidR="00CB1194" w:rsidRPr="00CB1194" w:rsidRDefault="00CB1194" w:rsidP="00CB119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на выявление уровня </w:t>
      </w:r>
      <w:proofErr w:type="spell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креативного</w:t>
      </w:r>
      <w:proofErr w:type="spell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мышления, </w:t>
      </w:r>
      <w:proofErr w:type="gram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предложенных</w:t>
      </w:r>
      <w:proofErr w:type="gram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обучающимся/студентам (15-летним подросткам) при проведении международного сравнительного исследования </w:t>
      </w:r>
      <w:hyperlink r:id="rId6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PISA https://rikc.by/ru/PISA/4-ex__pisa.pdf</w:t>
        </w:r>
      </w:hyperlink>
    </w:p>
    <w:p w:rsidR="00CB1194" w:rsidRPr="00CB1194" w:rsidRDefault="00CB1194" w:rsidP="00CB119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на выявление уровня математической грамотности, </w:t>
      </w:r>
      <w:proofErr w:type="gram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предложенных</w:t>
      </w:r>
      <w:proofErr w:type="gram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обучающимся/студентам (15-летним подросткам) при проведении международного сравнительного исследования PISA </w:t>
      </w:r>
      <w:hyperlink r:id="rId7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https://rikc.by/ru/PISA/2-ex__pisa.pdf</w:t>
        </w:r>
      </w:hyperlink>
    </w:p>
    <w:p w:rsidR="00CB1194" w:rsidRPr="00CB1194" w:rsidRDefault="00CB1194" w:rsidP="00CB119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на выявление уровня естественнонаучной грамотности, </w:t>
      </w:r>
      <w:proofErr w:type="gram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предложенных</w:t>
      </w:r>
      <w:proofErr w:type="gram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обучающимся/студентам (15-летним подросткам) при проведении международного сравнительного исследования PISA </w:t>
      </w:r>
      <w:hyperlink r:id="rId8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https://rikc.by/ru/PISA/3-ex__pisa.pdf</w:t>
        </w:r>
      </w:hyperlink>
    </w:p>
    <w:p w:rsidR="00CB1194" w:rsidRPr="00CB1194" w:rsidRDefault="00CB1194" w:rsidP="00CB1194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b/>
          <w:bCs/>
          <w:color w:val="273350"/>
          <w:sz w:val="36"/>
          <w:lang w:eastAsia="ru-RU"/>
        </w:rPr>
        <w:t>Методические материалы</w:t>
      </w:r>
    </w:p>
    <w:p w:rsidR="00CB1194" w:rsidRPr="00CB1194" w:rsidRDefault="00CB1194" w:rsidP="00CB1194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Учимся для жизни: лаборатория функциональной грамотности. </w:t>
      </w:r>
      <w:proofErr w:type="spellStart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Вебинар</w:t>
      </w:r>
      <w:proofErr w:type="spellEnd"/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 xml:space="preserve"> издательства «Просвещение»  </w:t>
      </w:r>
      <w:hyperlink r:id="rId9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https://clck.ru/YLh3L</w:t>
        </w:r>
      </w:hyperlink>
    </w:p>
    <w:p w:rsidR="00CB1194" w:rsidRPr="00CB1194" w:rsidRDefault="00CB1194" w:rsidP="00CB1194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Лаборатория функциональной грамотности. Корпорация Российский учебник. Методические материалы и запись вебинара  </w:t>
      </w:r>
      <w:hyperlink r:id="rId10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https://rosuchebnik.ru/material/laboratoriya-funktsionalnoy-gramotnosti/</w:t>
        </w:r>
      </w:hyperlink>
    </w:p>
    <w:p w:rsidR="00CB1194" w:rsidRPr="00CB1194" w:rsidRDefault="00CB1194" w:rsidP="00CB1194">
      <w:pPr>
        <w:shd w:val="clear" w:color="auto" w:fill="FFFFFF"/>
        <w:spacing w:before="108" w:after="252" w:line="240" w:lineRule="auto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b/>
          <w:bCs/>
          <w:color w:val="273350"/>
          <w:sz w:val="36"/>
          <w:lang w:eastAsia="ru-RU"/>
        </w:rPr>
        <w:t>Мероприятия</w:t>
      </w:r>
    </w:p>
    <w:p w:rsidR="00CB1194" w:rsidRPr="00CB1194" w:rsidRDefault="00CB1194" w:rsidP="00CB119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Всероссийский семинар "Формирование и оценка функциональной грамотности" </w:t>
      </w:r>
      <w:hyperlink r:id="rId11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https://edsoo.ru/Funkcionalnaya_gramotnost.htm</w:t>
        </w:r>
      </w:hyperlink>
    </w:p>
    <w:p w:rsidR="00CB1194" w:rsidRPr="00CB1194" w:rsidRDefault="00CB1194" w:rsidP="00CB119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r w:rsidRPr="00CB1194"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  <w:t>План всероссийских семинаров "Формирование и оценка функциональной грамотности школьников"</w:t>
      </w:r>
      <w:hyperlink r:id="rId12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 https://edsoo.ru/Formirovanie_i_ocenka_funkcionalnoj_gramotnosti_shkolnikov.htm</w:t>
        </w:r>
      </w:hyperlink>
    </w:p>
    <w:p w:rsidR="00CB1194" w:rsidRPr="00CB1194" w:rsidRDefault="00CB1194" w:rsidP="00CB119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  <w:hyperlink r:id="rId13" w:tgtFrame="_blank" w:history="1">
        <w:r w:rsidRPr="00CB1194">
          <w:rPr>
            <w:rFonts w:ascii="Montserrat" w:eastAsia="Times New Roman" w:hAnsi="Montserrat" w:cs="Times New Roman"/>
            <w:color w:val="0000FF"/>
            <w:sz w:val="29"/>
            <w:lang w:eastAsia="ru-RU"/>
          </w:rPr>
          <w:t>Материалы всероссийского семинара «Формирование функциональной грамотности: особенности организации учебного процесса», состоявшегося 23.09.2022.</w:t>
        </w:r>
      </w:hyperlink>
    </w:p>
    <w:p w:rsidR="00F31E74" w:rsidRDefault="00CB1194"/>
    <w:sectPr w:rsidR="00F31E74" w:rsidSect="00B0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7F1"/>
    <w:multiLevelType w:val="multilevel"/>
    <w:tmpl w:val="9204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47C7C"/>
    <w:multiLevelType w:val="multilevel"/>
    <w:tmpl w:val="D9A0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E0AA2"/>
    <w:multiLevelType w:val="multilevel"/>
    <w:tmpl w:val="AA8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12F7D"/>
    <w:rsid w:val="0019451B"/>
    <w:rsid w:val="00312F7D"/>
    <w:rsid w:val="00656CC5"/>
    <w:rsid w:val="00B05DD2"/>
    <w:rsid w:val="00C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194"/>
    <w:rPr>
      <w:b/>
      <w:bCs/>
    </w:rPr>
  </w:style>
  <w:style w:type="character" w:styleId="a5">
    <w:name w:val="Hyperlink"/>
    <w:basedOn w:val="a0"/>
    <w:uiPriority w:val="99"/>
    <w:semiHidden/>
    <w:unhideWhenUsed/>
    <w:rsid w:val="00CB1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rikc.by/ru/PISA/3-ex__pisa.pdf" TargetMode="External"/><Relationship Id="rId13" Type="http://schemas.openxmlformats.org/officeDocument/2006/relationships/hyperlink" Target="https://shkola32belgorod-r31.gosweb.gosuslugi.ru/netcat_files/userfiles/23.09.2022_Loginova_osobennosti_uchebnogo_protses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kc.by/ru/PISA/2-ex__pisa.pdf" TargetMode="External"/><Relationship Id="rId12" Type="http://schemas.openxmlformats.org/officeDocument/2006/relationships/hyperlink" Target="https://edsoo.ru/Formirovanie_i_ocenka_funkcionalnoj_gramotnosti_shkolnik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kc.by/ru/PISA/4-ex__pisa.pdf" TargetMode="External"/><Relationship Id="rId11" Type="http://schemas.openxmlformats.org/officeDocument/2006/relationships/hyperlink" Target="https://edsoo.ru/Funkcionalnaya_gramotnost.htm" TargetMode="External"/><Relationship Id="rId5" Type="http://schemas.openxmlformats.org/officeDocument/2006/relationships/hyperlink" Target="https://rikc.by/ru/PISA/1-ex__pis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osuchebnik.ru/material/laboratoriya-funktsionalnoy-gramotnosti/?utm_source=shkola32belgorod-r31.gosweb.gosuslugi.ru&amp;utm_medium=referral&amp;utm_campaign=shkola32belgorod-r31.gosweb.gosuslugi.ru&amp;utm_referrer=shkola32belgorod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eBlrXUmT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2024-03-26T14:32:00Z</dcterms:created>
  <dcterms:modified xsi:type="dcterms:W3CDTF">2024-03-26T14:56:00Z</dcterms:modified>
</cp:coreProperties>
</file>